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eastAsia="黑体"/>
          <w:kern w:val="0"/>
          <w:sz w:val="32"/>
          <w:szCs w:val="32"/>
        </w:rPr>
      </w:pPr>
    </w:p>
    <w:p>
      <w:pPr>
        <w:jc w:val="center"/>
        <w:rPr>
          <w:rFonts w:eastAsia="方正小标宋_GBK"/>
          <w:sz w:val="48"/>
          <w:szCs w:val="48"/>
        </w:rPr>
      </w:pPr>
      <w:r>
        <w:rPr>
          <w:rFonts w:hint="eastAsia" w:eastAsia="方正小标宋_GBK"/>
          <w:sz w:val="48"/>
          <w:szCs w:val="48"/>
        </w:rPr>
        <w:t>2023</w:t>
      </w:r>
      <w:r>
        <w:rPr>
          <w:rFonts w:eastAsia="方正小标宋_GBK"/>
          <w:sz w:val="48"/>
          <w:szCs w:val="48"/>
        </w:rPr>
        <w:t>年度</w:t>
      </w:r>
      <w:r>
        <w:rPr>
          <w:rFonts w:hint="eastAsia" w:eastAsia="方正小标宋_GBK"/>
          <w:sz w:val="48"/>
          <w:szCs w:val="48"/>
        </w:rPr>
        <w:t>江永工业集中区海相希望小学</w:t>
      </w:r>
      <w:r>
        <w:rPr>
          <w:rFonts w:eastAsia="方正小标宋_GBK"/>
          <w:sz w:val="48"/>
          <w:szCs w:val="48"/>
        </w:rPr>
        <w:t>整体支出绩效自评报告</w:t>
      </w:r>
    </w:p>
    <w:p>
      <w:pPr>
        <w:jc w:val="center"/>
        <w:rPr>
          <w:rFonts w:eastAsia="楷体_GB2312"/>
          <w:b/>
          <w:sz w:val="32"/>
          <w:szCs w:val="32"/>
        </w:rPr>
      </w:pPr>
      <w:r>
        <w:rPr>
          <w:rFonts w:hint="eastAsia" w:eastAsia="楷体_GB2312"/>
          <w:b/>
          <w:sz w:val="32"/>
          <w:szCs w:val="32"/>
        </w:rPr>
        <w:t xml:space="preserve"> </w:t>
      </w: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880" w:firstLineChars="200"/>
        <w:jc w:val="center"/>
        <w:rPr>
          <w:rFonts w:eastAsia="黑体"/>
          <w:sz w:val="44"/>
          <w:szCs w:val="44"/>
        </w:rPr>
      </w:pPr>
    </w:p>
    <w:p>
      <w:pPr>
        <w:ind w:firstLine="720" w:firstLineChars="200"/>
        <w:jc w:val="center"/>
        <w:rPr>
          <w:rFonts w:eastAsia="黑体"/>
          <w:sz w:val="36"/>
          <w:szCs w:val="36"/>
        </w:rPr>
      </w:pPr>
    </w:p>
    <w:p>
      <w:pPr>
        <w:rPr>
          <w:rFonts w:eastAsia="黑体"/>
          <w:sz w:val="36"/>
          <w:szCs w:val="36"/>
        </w:rPr>
      </w:pPr>
      <w:r>
        <w:rPr>
          <w:rFonts w:eastAsia="黑体"/>
          <w:sz w:val="36"/>
          <w:szCs w:val="36"/>
        </w:rPr>
        <w:t>单位名称（盖章）：</w:t>
      </w:r>
      <w:r>
        <w:rPr>
          <w:rFonts w:hint="eastAsia" w:eastAsia="黑体"/>
          <w:sz w:val="36"/>
          <w:szCs w:val="36"/>
        </w:rPr>
        <w:t>江永工业集中区海相希望小学</w:t>
      </w:r>
    </w:p>
    <w:p>
      <w:pPr>
        <w:jc w:val="center"/>
        <w:rPr>
          <w:rFonts w:eastAsia="黑体"/>
          <w:sz w:val="36"/>
          <w:szCs w:val="36"/>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p>
    <w:p>
      <w:pPr>
        <w:spacing w:line="600" w:lineRule="exact"/>
        <w:ind w:firstLine="640" w:firstLineChars="200"/>
        <w:rPr>
          <w:rFonts w:eastAsia="黑体"/>
          <w:sz w:val="32"/>
          <w:szCs w:val="32"/>
        </w:rPr>
      </w:pPr>
      <w:r>
        <w:rPr>
          <w:rFonts w:eastAsia="黑体"/>
          <w:sz w:val="32"/>
          <w:szCs w:val="32"/>
        </w:rPr>
        <w:t>一、基本情况</w:t>
      </w:r>
    </w:p>
    <w:p>
      <w:pPr>
        <w:spacing w:line="600" w:lineRule="exact"/>
        <w:ind w:firstLine="643" w:firstLineChars="200"/>
        <w:rPr>
          <w:rFonts w:eastAsia="楷体_GB2312"/>
          <w:b/>
          <w:sz w:val="32"/>
          <w:szCs w:val="32"/>
        </w:rPr>
      </w:pPr>
      <w:r>
        <w:rPr>
          <w:rFonts w:eastAsia="楷体_GB2312"/>
          <w:b/>
          <w:sz w:val="32"/>
          <w:szCs w:val="32"/>
        </w:rPr>
        <w:t>（一）</w:t>
      </w:r>
      <w:r>
        <w:rPr>
          <w:rFonts w:hint="eastAsia" w:eastAsia="楷体_GB2312"/>
          <w:b/>
          <w:sz w:val="32"/>
          <w:szCs w:val="32"/>
        </w:rPr>
        <w:t>单位</w:t>
      </w:r>
      <w:r>
        <w:rPr>
          <w:rFonts w:eastAsia="楷体_GB2312"/>
          <w:b/>
          <w:sz w:val="32"/>
          <w:szCs w:val="32"/>
        </w:rPr>
        <w:t>基本情况</w:t>
      </w:r>
    </w:p>
    <w:p>
      <w:pPr>
        <w:spacing w:line="600" w:lineRule="exact"/>
        <w:ind w:firstLine="640" w:firstLineChars="200"/>
        <w:rPr>
          <w:rFonts w:eastAsia="仿宋_GB2312"/>
          <w:sz w:val="32"/>
          <w:szCs w:val="32"/>
        </w:rPr>
      </w:pPr>
      <w:bookmarkStart w:id="0" w:name="_GoBack"/>
      <w:r>
        <w:rPr>
          <w:rFonts w:hint="eastAsia" w:eastAsia="仿宋_GB2312"/>
          <w:sz w:val="32"/>
          <w:szCs w:val="32"/>
        </w:rPr>
        <w:t>江永工业集中区海相希望小学位于江永县</w:t>
      </w:r>
      <w:r>
        <w:rPr>
          <w:rFonts w:hint="eastAsia" w:eastAsia="仿宋_GB2312"/>
          <w:sz w:val="32"/>
          <w:szCs w:val="32"/>
          <w:lang w:val="en-US" w:eastAsia="zh-CN"/>
        </w:rPr>
        <w:t>工业园区</w:t>
      </w:r>
      <w:r>
        <w:rPr>
          <w:rFonts w:hint="eastAsia" w:eastAsia="仿宋_GB2312"/>
          <w:sz w:val="32"/>
          <w:szCs w:val="32"/>
        </w:rPr>
        <w:t>，2023年共有</w:t>
      </w:r>
      <w:r>
        <w:rPr>
          <w:rFonts w:hint="eastAsia" w:eastAsia="仿宋_GB2312"/>
          <w:sz w:val="32"/>
          <w:szCs w:val="32"/>
          <w:lang w:val="en-US" w:eastAsia="zh-CN"/>
        </w:rPr>
        <w:t>5</w:t>
      </w:r>
      <w:r>
        <w:rPr>
          <w:rFonts w:hint="eastAsia" w:eastAsia="仿宋_GB2312"/>
          <w:sz w:val="32"/>
          <w:szCs w:val="32"/>
        </w:rPr>
        <w:t>个教学班，</w:t>
      </w:r>
      <w:r>
        <w:rPr>
          <w:rFonts w:hint="eastAsia" w:eastAsia="仿宋_GB2312"/>
          <w:sz w:val="32"/>
          <w:szCs w:val="32"/>
          <w:lang w:val="en-US" w:eastAsia="zh-CN"/>
        </w:rPr>
        <w:t>92</w:t>
      </w:r>
      <w:r>
        <w:rPr>
          <w:rFonts w:hint="eastAsia" w:eastAsia="仿宋_GB2312"/>
          <w:sz w:val="32"/>
          <w:szCs w:val="32"/>
        </w:rPr>
        <w:t>名学生，全校教职员工</w:t>
      </w:r>
      <w:r>
        <w:rPr>
          <w:rFonts w:hint="eastAsia" w:eastAsia="仿宋_GB2312"/>
          <w:sz w:val="32"/>
          <w:szCs w:val="32"/>
          <w:lang w:val="en-US" w:eastAsia="zh-CN"/>
        </w:rPr>
        <w:t>10</w:t>
      </w:r>
      <w:r>
        <w:rPr>
          <w:rFonts w:hint="eastAsia" w:eastAsia="仿宋_GB2312"/>
          <w:sz w:val="32"/>
          <w:szCs w:val="32"/>
        </w:rPr>
        <w:t>人，在职在编人数</w:t>
      </w:r>
      <w:r>
        <w:rPr>
          <w:rFonts w:hint="eastAsia" w:eastAsia="仿宋_GB2312"/>
          <w:sz w:val="32"/>
          <w:szCs w:val="32"/>
          <w:lang w:val="en-US" w:eastAsia="zh-CN"/>
        </w:rPr>
        <w:t>7</w:t>
      </w:r>
      <w:r>
        <w:rPr>
          <w:rFonts w:hint="eastAsia" w:eastAsia="仿宋_GB2312"/>
          <w:sz w:val="32"/>
          <w:szCs w:val="32"/>
        </w:rPr>
        <w:t>人</w:t>
      </w:r>
      <w:r>
        <w:rPr>
          <w:rFonts w:hint="eastAsia" w:eastAsia="仿宋_GB2312"/>
          <w:sz w:val="32"/>
          <w:szCs w:val="32"/>
          <w:lang w:eastAsia="zh-CN"/>
        </w:rPr>
        <w:t>。</w:t>
      </w:r>
      <w:r>
        <w:rPr>
          <w:rFonts w:hint="eastAsia" w:eastAsia="仿宋_GB2312"/>
          <w:sz w:val="32"/>
          <w:szCs w:val="32"/>
        </w:rPr>
        <w:t>单位主要职能：实施</w:t>
      </w:r>
      <w:r>
        <w:rPr>
          <w:rFonts w:hint="eastAsia" w:eastAsia="仿宋_GB2312"/>
          <w:sz w:val="32"/>
          <w:szCs w:val="32"/>
          <w:lang w:eastAsia="zh-CN"/>
        </w:rPr>
        <w:t>小学</w:t>
      </w:r>
      <w:r>
        <w:rPr>
          <w:rFonts w:hint="eastAsia" w:eastAsia="仿宋_GB2312"/>
          <w:sz w:val="32"/>
          <w:szCs w:val="32"/>
        </w:rPr>
        <w:t>教育，促进基础教育发展。</w:t>
      </w:r>
    </w:p>
    <w:bookmarkEnd w:id="0"/>
    <w:p>
      <w:pPr>
        <w:numPr>
          <w:ilvl w:val="0"/>
          <w:numId w:val="1"/>
        </w:numPr>
        <w:spacing w:line="600" w:lineRule="exact"/>
        <w:ind w:firstLine="643" w:firstLineChars="200"/>
        <w:rPr>
          <w:rFonts w:eastAsia="楷体_GB2312"/>
          <w:b/>
          <w:sz w:val="32"/>
          <w:szCs w:val="32"/>
        </w:rPr>
      </w:pPr>
      <w:r>
        <w:rPr>
          <w:rFonts w:hint="eastAsia" w:eastAsia="楷体_GB2312"/>
          <w:b/>
          <w:sz w:val="32"/>
          <w:szCs w:val="32"/>
        </w:rPr>
        <w:t>单位</w:t>
      </w:r>
      <w:r>
        <w:rPr>
          <w:rFonts w:eastAsia="楷体_GB2312"/>
          <w:b/>
          <w:sz w:val="32"/>
          <w:szCs w:val="32"/>
        </w:rPr>
        <w:t>年度整体支出绩效目标</w:t>
      </w:r>
    </w:p>
    <w:p>
      <w:pPr>
        <w:spacing w:line="600" w:lineRule="exact"/>
        <w:ind w:firstLine="640" w:firstLineChars="200"/>
        <w:rPr>
          <w:rFonts w:eastAsia="仿宋_GB2312"/>
          <w:sz w:val="32"/>
          <w:szCs w:val="32"/>
        </w:rPr>
      </w:pPr>
      <w:r>
        <w:rPr>
          <w:rFonts w:hint="eastAsia" w:eastAsia="仿宋_GB2312"/>
          <w:sz w:val="32"/>
          <w:szCs w:val="32"/>
        </w:rPr>
        <w:t>按照国家政策法规规定和本单位实际情况，建立健全财务基础管理制度和约束机制，依法、有效地使用财政资金，提高财政资金使用效率，在完成单位职能目标中合理分配人、财、物，使之达到较高的工作效率和水平</w:t>
      </w:r>
    </w:p>
    <w:p>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pPr>
        <w:pStyle w:val="7"/>
        <w:spacing w:line="600" w:lineRule="exact"/>
        <w:ind w:firstLine="643"/>
        <w:rPr>
          <w:rFonts w:ascii="Times New Roman" w:hAnsi="Times New Roman" w:eastAsia="楷体_GB2312"/>
          <w:b/>
          <w:sz w:val="32"/>
          <w:szCs w:val="32"/>
        </w:rPr>
      </w:pPr>
      <w:r>
        <w:rPr>
          <w:rFonts w:ascii="Times New Roman" w:hAnsi="Times New Roman" w:eastAsia="楷体_GB2312"/>
          <w:b/>
          <w:sz w:val="32"/>
          <w:szCs w:val="32"/>
        </w:rPr>
        <w:t>（一）基本支出情况</w:t>
      </w:r>
    </w:p>
    <w:p>
      <w:pPr>
        <w:spacing w:line="600" w:lineRule="exact"/>
        <w:ind w:firstLine="640" w:firstLineChars="200"/>
        <w:rPr>
          <w:rFonts w:eastAsia="仿宋_GB2312"/>
          <w:sz w:val="32"/>
          <w:szCs w:val="32"/>
        </w:rPr>
      </w:pPr>
      <w:r>
        <w:rPr>
          <w:rFonts w:hint="eastAsia" w:eastAsia="仿宋_GB2312"/>
          <w:sz w:val="32"/>
          <w:szCs w:val="32"/>
        </w:rPr>
        <w:t>2023年年度一般公共预算安排</w:t>
      </w:r>
      <w:r>
        <w:rPr>
          <w:rFonts w:hint="eastAsia" w:eastAsia="仿宋_GB2312"/>
          <w:sz w:val="32"/>
          <w:szCs w:val="32"/>
          <w:lang w:val="en-US" w:eastAsia="zh-CN"/>
        </w:rPr>
        <w:t>85.83</w:t>
      </w:r>
      <w:r>
        <w:rPr>
          <w:rFonts w:hint="eastAsia" w:eastAsia="仿宋_GB2312"/>
          <w:sz w:val="32"/>
          <w:szCs w:val="32"/>
        </w:rPr>
        <w:t>万元，其中人员经费</w:t>
      </w:r>
      <w:r>
        <w:rPr>
          <w:rFonts w:hint="eastAsia" w:eastAsia="仿宋_GB2312"/>
          <w:sz w:val="32"/>
          <w:szCs w:val="32"/>
          <w:lang w:val="en-US" w:eastAsia="zh-CN"/>
        </w:rPr>
        <w:t>66.63</w:t>
      </w:r>
      <w:r>
        <w:rPr>
          <w:rFonts w:hint="eastAsia" w:eastAsia="仿宋_GB2312"/>
          <w:sz w:val="32"/>
          <w:szCs w:val="32"/>
        </w:rPr>
        <w:t>万元，公用经费</w:t>
      </w:r>
      <w:r>
        <w:rPr>
          <w:rFonts w:hint="eastAsia" w:eastAsia="仿宋_GB2312"/>
          <w:sz w:val="32"/>
          <w:szCs w:val="32"/>
          <w:lang w:val="en-US" w:eastAsia="zh-CN"/>
        </w:rPr>
        <w:t>19.19</w:t>
      </w:r>
      <w:r>
        <w:rPr>
          <w:rFonts w:hint="eastAsia" w:eastAsia="仿宋_GB2312"/>
          <w:sz w:val="32"/>
          <w:szCs w:val="32"/>
        </w:rPr>
        <w:t>万元，项目支出</w:t>
      </w:r>
      <w:r>
        <w:rPr>
          <w:rFonts w:hint="eastAsia" w:eastAsia="仿宋_GB2312"/>
          <w:sz w:val="32"/>
          <w:szCs w:val="32"/>
          <w:lang w:val="en-US" w:eastAsia="zh-CN"/>
        </w:rPr>
        <w:t>15.50</w:t>
      </w:r>
      <w:r>
        <w:rPr>
          <w:rFonts w:hint="eastAsia" w:eastAsia="仿宋_GB2312"/>
          <w:sz w:val="32"/>
          <w:szCs w:val="32"/>
        </w:rPr>
        <w:t>万元。</w:t>
      </w:r>
    </w:p>
    <w:p>
      <w:pPr>
        <w:spacing w:line="600" w:lineRule="exact"/>
        <w:ind w:firstLine="640" w:firstLineChars="200"/>
        <w:rPr>
          <w:rFonts w:eastAsia="仿宋_GB2312"/>
          <w:sz w:val="32"/>
          <w:szCs w:val="32"/>
        </w:rPr>
      </w:pPr>
      <w:r>
        <w:rPr>
          <w:rFonts w:hint="eastAsia" w:eastAsia="仿宋_GB2312"/>
          <w:sz w:val="32"/>
          <w:szCs w:val="32"/>
        </w:rPr>
        <w:t>2023年江永江永工业集中区海相希望小学用于单位正常运转及人员经费共</w:t>
      </w:r>
      <w:r>
        <w:rPr>
          <w:rFonts w:hint="eastAsia" w:eastAsia="仿宋_GB2312"/>
          <w:sz w:val="32"/>
          <w:szCs w:val="32"/>
          <w:lang w:val="en-US" w:eastAsia="zh-CN"/>
        </w:rPr>
        <w:t>85.83</w:t>
      </w:r>
      <w:r>
        <w:rPr>
          <w:rFonts w:hint="eastAsia" w:eastAsia="仿宋_GB2312"/>
          <w:sz w:val="32"/>
          <w:szCs w:val="32"/>
        </w:rPr>
        <w:t>万元，其中人员支出（含基本工资、绩效津补贴、社保及临聘人员工资福利等）共</w:t>
      </w:r>
      <w:r>
        <w:rPr>
          <w:rFonts w:hint="eastAsia" w:eastAsia="仿宋_GB2312"/>
          <w:sz w:val="32"/>
          <w:szCs w:val="32"/>
          <w:lang w:val="en-US" w:eastAsia="zh-CN"/>
        </w:rPr>
        <w:t>66.63</w:t>
      </w:r>
      <w:r>
        <w:rPr>
          <w:rFonts w:hint="eastAsia" w:eastAsia="仿宋_GB2312"/>
          <w:sz w:val="32"/>
          <w:szCs w:val="32"/>
        </w:rPr>
        <w:t>万元，机构正常运转经费</w:t>
      </w:r>
      <w:r>
        <w:rPr>
          <w:rFonts w:hint="eastAsia" w:eastAsia="仿宋_GB2312"/>
          <w:sz w:val="32"/>
          <w:szCs w:val="32"/>
          <w:lang w:val="en-US" w:eastAsia="zh-CN"/>
        </w:rPr>
        <w:t>19.19</w:t>
      </w:r>
      <w:r>
        <w:rPr>
          <w:rFonts w:hint="eastAsia" w:eastAsia="仿宋_GB2312"/>
          <w:sz w:val="32"/>
          <w:szCs w:val="32"/>
        </w:rPr>
        <w:t>万元。其中办公费</w:t>
      </w:r>
      <w:r>
        <w:rPr>
          <w:rFonts w:hint="eastAsia" w:eastAsia="仿宋_GB2312"/>
          <w:sz w:val="32"/>
          <w:szCs w:val="32"/>
          <w:lang w:val="en-US" w:eastAsia="zh-CN"/>
        </w:rPr>
        <w:t>3.10</w:t>
      </w:r>
      <w:r>
        <w:rPr>
          <w:rFonts w:hint="eastAsia" w:eastAsia="仿宋_GB2312"/>
          <w:sz w:val="32"/>
          <w:szCs w:val="32"/>
        </w:rPr>
        <w:t>万元；水费电费差旅费</w:t>
      </w:r>
      <w:r>
        <w:rPr>
          <w:rFonts w:hint="eastAsia" w:eastAsia="仿宋_GB2312"/>
          <w:sz w:val="32"/>
          <w:szCs w:val="32"/>
          <w:lang w:val="en-US" w:eastAsia="zh-CN"/>
        </w:rPr>
        <w:t>1.66</w:t>
      </w:r>
      <w:r>
        <w:rPr>
          <w:rFonts w:hint="eastAsia" w:eastAsia="仿宋_GB2312"/>
          <w:sz w:val="32"/>
          <w:szCs w:val="32"/>
        </w:rPr>
        <w:t>万元；培训费</w:t>
      </w:r>
      <w:r>
        <w:rPr>
          <w:rFonts w:hint="eastAsia" w:eastAsia="仿宋_GB2312"/>
          <w:sz w:val="32"/>
          <w:szCs w:val="32"/>
          <w:lang w:val="en-US" w:eastAsia="zh-CN"/>
        </w:rPr>
        <w:t>1.95</w:t>
      </w:r>
      <w:r>
        <w:rPr>
          <w:rFonts w:hint="eastAsia" w:eastAsia="仿宋_GB2312"/>
          <w:sz w:val="32"/>
          <w:szCs w:val="32"/>
        </w:rPr>
        <w:t>元，维修费</w:t>
      </w:r>
      <w:r>
        <w:rPr>
          <w:rFonts w:hint="eastAsia" w:eastAsia="仿宋_GB2312"/>
          <w:sz w:val="32"/>
          <w:szCs w:val="32"/>
          <w:lang w:val="en-US" w:eastAsia="zh-CN"/>
        </w:rPr>
        <w:t>3.70</w:t>
      </w:r>
      <w:r>
        <w:rPr>
          <w:rFonts w:hint="eastAsia" w:eastAsia="仿宋_GB2312"/>
          <w:sz w:val="32"/>
          <w:szCs w:val="32"/>
        </w:rPr>
        <w:t>万元等。</w:t>
      </w:r>
    </w:p>
    <w:p>
      <w:pPr>
        <w:spacing w:line="600" w:lineRule="exact"/>
        <w:ind w:firstLine="643" w:firstLineChars="200"/>
        <w:rPr>
          <w:rFonts w:ascii="Times New Roman" w:hAnsi="Times New Roman" w:eastAsia="楷体_GB2312"/>
          <w:b/>
          <w:sz w:val="32"/>
          <w:szCs w:val="32"/>
        </w:rPr>
      </w:pPr>
      <w:r>
        <w:rPr>
          <w:rFonts w:ascii="Times New Roman" w:hAnsi="Times New Roman" w:eastAsia="楷体_GB2312"/>
          <w:b/>
          <w:sz w:val="32"/>
          <w:szCs w:val="32"/>
        </w:rPr>
        <w:t>（二）项目支出情况</w:t>
      </w:r>
    </w:p>
    <w:p>
      <w:pPr>
        <w:spacing w:line="600" w:lineRule="exact"/>
        <w:ind w:firstLine="640" w:firstLineChars="200"/>
        <w:rPr>
          <w:rFonts w:eastAsia="仿宋_GB2312"/>
          <w:sz w:val="32"/>
          <w:szCs w:val="32"/>
        </w:rPr>
      </w:pPr>
      <w:r>
        <w:rPr>
          <w:rFonts w:hint="eastAsia" w:eastAsia="仿宋_GB2312"/>
          <w:sz w:val="32"/>
          <w:szCs w:val="32"/>
        </w:rPr>
        <w:t>1.</w:t>
      </w:r>
      <w:r>
        <w:rPr>
          <w:rFonts w:hint="eastAsia" w:eastAsia="仿宋_GB2312"/>
          <w:sz w:val="32"/>
          <w:szCs w:val="32"/>
          <w:lang w:eastAsia="zh-CN"/>
        </w:rPr>
        <w:t>基础绩效</w:t>
      </w:r>
      <w:r>
        <w:rPr>
          <w:rFonts w:hint="eastAsia" w:eastAsia="仿宋_GB2312"/>
          <w:sz w:val="32"/>
          <w:szCs w:val="32"/>
        </w:rPr>
        <w:t>：</w:t>
      </w:r>
      <w:r>
        <w:rPr>
          <w:rFonts w:hint="eastAsia" w:eastAsia="仿宋_GB2312"/>
          <w:sz w:val="32"/>
          <w:szCs w:val="32"/>
          <w:lang w:val="en-US" w:eastAsia="zh-CN"/>
        </w:rPr>
        <w:t>15.50</w:t>
      </w:r>
      <w:r>
        <w:rPr>
          <w:rFonts w:hint="eastAsia" w:eastAsia="仿宋_GB2312"/>
          <w:sz w:val="32"/>
          <w:szCs w:val="32"/>
        </w:rPr>
        <w:t>万元，用于发放23学年学校各</w:t>
      </w:r>
      <w:r>
        <w:rPr>
          <w:rFonts w:hint="eastAsia" w:eastAsia="仿宋_GB2312"/>
          <w:sz w:val="32"/>
          <w:szCs w:val="32"/>
          <w:lang w:eastAsia="zh-CN"/>
        </w:rPr>
        <w:t>教师</w:t>
      </w:r>
      <w:r>
        <w:rPr>
          <w:rFonts w:hint="eastAsia" w:eastAsia="仿宋_GB2312"/>
          <w:sz w:val="32"/>
          <w:szCs w:val="32"/>
        </w:rPr>
        <w:t>每月的</w:t>
      </w:r>
      <w:r>
        <w:rPr>
          <w:rFonts w:hint="eastAsia" w:eastAsia="仿宋_GB2312"/>
          <w:sz w:val="32"/>
          <w:szCs w:val="32"/>
          <w:lang w:eastAsia="zh-CN"/>
        </w:rPr>
        <w:t>基础绩效</w:t>
      </w:r>
      <w:r>
        <w:rPr>
          <w:rFonts w:hint="eastAsia" w:eastAsia="仿宋_GB2312"/>
          <w:sz w:val="32"/>
          <w:szCs w:val="32"/>
        </w:rPr>
        <w:t>。</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政府性基金预算支出情况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国有资本经营预算支出情况</w:t>
      </w:r>
    </w:p>
    <w:p>
      <w:pPr>
        <w:spacing w:line="600" w:lineRule="exact"/>
        <w:ind w:firstLine="640" w:firstLineChars="200"/>
        <w:rPr>
          <w:rFonts w:eastAsia="仿宋_GB2312"/>
          <w:sz w:val="32"/>
          <w:szCs w:val="32"/>
        </w:rPr>
      </w:pPr>
      <w:r>
        <w:rPr>
          <w:rFonts w:hint="eastAsia" w:eastAsia="仿宋_GB2312"/>
          <w:sz w:val="32"/>
          <w:szCs w:val="32"/>
        </w:rPr>
        <w:t>无</w:t>
      </w:r>
    </w:p>
    <w:p>
      <w:pPr>
        <w:pStyle w:val="7"/>
        <w:numPr>
          <w:ilvl w:val="0"/>
          <w:numId w:val="2"/>
        </w:numPr>
        <w:spacing w:line="600" w:lineRule="exact"/>
        <w:ind w:firstLine="640"/>
        <w:rPr>
          <w:rFonts w:ascii="Times New Roman" w:hAnsi="Times New Roman" w:eastAsia="黑体"/>
          <w:sz w:val="32"/>
          <w:szCs w:val="32"/>
        </w:rPr>
      </w:pPr>
      <w:r>
        <w:rPr>
          <w:rFonts w:ascii="Times New Roman" w:hAnsi="Times New Roman" w:eastAsia="黑体"/>
          <w:sz w:val="32"/>
          <w:szCs w:val="32"/>
        </w:rPr>
        <w:t>社会保险基金预算支出情况</w:t>
      </w:r>
    </w:p>
    <w:p>
      <w:pPr>
        <w:spacing w:line="600" w:lineRule="exact"/>
        <w:ind w:firstLine="640" w:firstLineChars="200"/>
        <w:rPr>
          <w:rFonts w:hint="eastAsia" w:eastAsia="仿宋_GB2312"/>
          <w:sz w:val="32"/>
          <w:szCs w:val="32"/>
        </w:rPr>
      </w:pPr>
      <w:r>
        <w:rPr>
          <w:rFonts w:hint="eastAsia" w:eastAsia="仿宋_GB2312"/>
          <w:sz w:val="32"/>
          <w:szCs w:val="32"/>
        </w:rPr>
        <w:t>2023年机关事业单位基本养老保险缴费支出</w:t>
      </w:r>
      <w:r>
        <w:rPr>
          <w:rFonts w:hint="eastAsia" w:eastAsia="仿宋_GB2312"/>
          <w:sz w:val="32"/>
          <w:szCs w:val="32"/>
          <w:lang w:val="en-US" w:eastAsia="zh-CN"/>
        </w:rPr>
        <w:t>6.59</w:t>
      </w:r>
      <w:r>
        <w:rPr>
          <w:rFonts w:hint="eastAsia" w:eastAsia="仿宋_GB2312"/>
          <w:sz w:val="32"/>
          <w:szCs w:val="32"/>
        </w:rPr>
        <w:t>万元，职工基本医疗保险缴费支出</w:t>
      </w:r>
      <w:r>
        <w:rPr>
          <w:rFonts w:hint="eastAsia" w:eastAsia="仿宋_GB2312"/>
          <w:sz w:val="32"/>
          <w:szCs w:val="32"/>
          <w:lang w:val="en-US" w:eastAsia="zh-CN"/>
        </w:rPr>
        <w:t>3.58</w:t>
      </w:r>
      <w:r>
        <w:rPr>
          <w:rFonts w:hint="eastAsia" w:eastAsia="仿宋_GB2312"/>
          <w:sz w:val="32"/>
          <w:szCs w:val="32"/>
        </w:rPr>
        <w:t>万元，其他社会保障缴费支出</w:t>
      </w:r>
      <w:r>
        <w:rPr>
          <w:rFonts w:hint="eastAsia" w:eastAsia="仿宋_GB2312"/>
          <w:sz w:val="32"/>
          <w:szCs w:val="32"/>
          <w:lang w:val="en-US" w:eastAsia="zh-CN"/>
        </w:rPr>
        <w:t>0.44</w:t>
      </w:r>
      <w:r>
        <w:rPr>
          <w:rFonts w:hint="eastAsia" w:eastAsia="仿宋_GB2312"/>
          <w:sz w:val="32"/>
          <w:szCs w:val="32"/>
        </w:rPr>
        <w:t>万元。</w:t>
      </w:r>
    </w:p>
    <w:p>
      <w:pPr>
        <w:spacing w:line="600" w:lineRule="exact"/>
        <w:ind w:firstLine="640" w:firstLineChars="200"/>
        <w:rPr>
          <w:rFonts w:eastAsia="黑体"/>
          <w:sz w:val="32"/>
          <w:szCs w:val="32"/>
        </w:rPr>
      </w:pPr>
      <w:r>
        <w:rPr>
          <w:rFonts w:eastAsia="黑体"/>
          <w:sz w:val="32"/>
          <w:szCs w:val="32"/>
        </w:rPr>
        <w:t>六、部门整体支出绩效情况</w:t>
      </w:r>
    </w:p>
    <w:p>
      <w:pPr>
        <w:spacing w:line="600" w:lineRule="exact"/>
        <w:ind w:firstLine="640" w:firstLineChars="200"/>
        <w:rPr>
          <w:rFonts w:hint="eastAsia" w:eastAsia="仿宋_GB2312"/>
          <w:sz w:val="32"/>
          <w:szCs w:val="32"/>
        </w:rPr>
      </w:pPr>
      <w:r>
        <w:rPr>
          <w:rFonts w:hint="eastAsia" w:eastAsia="仿宋_GB2312"/>
          <w:sz w:val="32"/>
          <w:szCs w:val="32"/>
        </w:rPr>
        <w:t>2023年，我校积极履职，强化管理，较好地完成了年度工作目标。通过加强预算收支管理，不断建立健全内部管理制度，梳理内部管理流程，部门整体支出管理水平得到提升。根据部门整体支出绩效评价指标体系，我校2023年度评价得分为99分。部门整体支出绩效情况中，部门资金使用率得分10分，其他分值如下：</w:t>
      </w: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ind w:firstLine="640" w:firstLineChars="200"/>
        <w:rPr>
          <w:rFonts w:hint="eastAsia" w:eastAsia="仿宋_GB2312"/>
          <w:sz w:val="32"/>
          <w:szCs w:val="32"/>
        </w:rPr>
      </w:pPr>
    </w:p>
    <w:p>
      <w:pPr>
        <w:spacing w:line="600" w:lineRule="exact"/>
        <w:rPr>
          <w:rFonts w:hint="eastAsia" w:eastAsia="仿宋_GB2312"/>
          <w:sz w:val="32"/>
          <w:szCs w:val="32"/>
        </w:rPr>
      </w:pPr>
    </w:p>
    <w:p>
      <w:pPr>
        <w:spacing w:line="600" w:lineRule="exact"/>
        <w:rPr>
          <w:rFonts w:hint="eastAsia" w:eastAsia="仿宋_GB2312"/>
          <w:sz w:val="32"/>
          <w:szCs w:val="32"/>
        </w:rPr>
      </w:pPr>
    </w:p>
    <w:p>
      <w:pPr>
        <w:spacing w:line="600" w:lineRule="exact"/>
        <w:rPr>
          <w:rFonts w:hint="eastAsia" w:eastAsia="仿宋_GB2312"/>
          <w:sz w:val="32"/>
          <w:szCs w:val="32"/>
        </w:rPr>
      </w:pPr>
    </w:p>
    <w:tbl>
      <w:tblPr>
        <w:tblStyle w:val="5"/>
        <w:tblW w:w="100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45"/>
        <w:gridCol w:w="1350"/>
        <w:gridCol w:w="1202"/>
        <w:gridCol w:w="1171"/>
        <w:gridCol w:w="1160"/>
        <w:gridCol w:w="1097"/>
        <w:gridCol w:w="688"/>
        <w:gridCol w:w="951"/>
        <w:gridCol w:w="13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jc w:val="center"/>
        </w:trPr>
        <w:tc>
          <w:tcPr>
            <w:tcW w:w="1045" w:type="dxa"/>
            <w:vMerge w:val="restart"/>
            <w:noWrap w:val="0"/>
            <w:vAlign w:val="center"/>
          </w:tcPr>
          <w:p>
            <w:pPr>
              <w:jc w:val="center"/>
              <w:rPr>
                <w:rFonts w:hint="eastAsia" w:ascii="仿宋" w:hAnsi="仿宋" w:eastAsia="仿宋"/>
                <w:sz w:val="20"/>
                <w:szCs w:val="20"/>
              </w:rPr>
            </w:pPr>
            <w:r>
              <w:rPr>
                <w:rFonts w:hint="eastAsia" w:ascii="仿宋" w:hAnsi="仿宋" w:eastAsia="仿宋"/>
                <w:sz w:val="20"/>
                <w:szCs w:val="20"/>
              </w:rPr>
              <w:t>绩</w:t>
            </w:r>
          </w:p>
          <w:p>
            <w:pPr>
              <w:jc w:val="center"/>
              <w:rPr>
                <w:rFonts w:hint="eastAsia" w:ascii="仿宋" w:hAnsi="仿宋" w:eastAsia="仿宋"/>
                <w:sz w:val="20"/>
                <w:szCs w:val="20"/>
              </w:rPr>
            </w:pPr>
            <w:r>
              <w:rPr>
                <w:rFonts w:hint="eastAsia" w:ascii="仿宋" w:hAnsi="仿宋" w:eastAsia="仿宋"/>
                <w:sz w:val="20"/>
                <w:szCs w:val="20"/>
              </w:rPr>
              <w:t>效</w:t>
            </w:r>
          </w:p>
          <w:p>
            <w:pPr>
              <w:jc w:val="center"/>
              <w:rPr>
                <w:rFonts w:hint="eastAsia" w:ascii="仿宋" w:hAnsi="仿宋" w:eastAsia="仿宋"/>
                <w:sz w:val="20"/>
                <w:szCs w:val="20"/>
              </w:rPr>
            </w:pPr>
            <w:r>
              <w:rPr>
                <w:rFonts w:hint="eastAsia" w:ascii="仿宋" w:hAnsi="仿宋" w:eastAsia="仿宋"/>
                <w:sz w:val="20"/>
                <w:szCs w:val="20"/>
              </w:rPr>
              <w:t>指</w:t>
            </w:r>
          </w:p>
          <w:p>
            <w:pPr>
              <w:jc w:val="center"/>
              <w:rPr>
                <w:rFonts w:hint="eastAsia" w:ascii="仿宋" w:hAnsi="仿宋" w:eastAsia="仿宋"/>
                <w:sz w:val="20"/>
                <w:szCs w:val="20"/>
              </w:rPr>
            </w:pPr>
            <w:r>
              <w:rPr>
                <w:rFonts w:hint="eastAsia" w:ascii="仿宋" w:hAnsi="仿宋" w:eastAsia="仿宋"/>
                <w:sz w:val="20"/>
                <w:szCs w:val="20"/>
              </w:rPr>
              <w:t>标</w:t>
            </w:r>
          </w:p>
        </w:tc>
        <w:tc>
          <w:tcPr>
            <w:tcW w:w="1350" w:type="dxa"/>
            <w:noWrap w:val="0"/>
            <w:vAlign w:val="center"/>
          </w:tcPr>
          <w:p>
            <w:pPr>
              <w:rPr>
                <w:rFonts w:hint="eastAsia" w:ascii="仿宋" w:hAnsi="仿宋" w:eastAsia="仿宋"/>
                <w:sz w:val="20"/>
                <w:szCs w:val="20"/>
              </w:rPr>
            </w:pPr>
            <w:r>
              <w:rPr>
                <w:rFonts w:hint="eastAsia" w:ascii="仿宋" w:hAnsi="仿宋" w:eastAsia="仿宋"/>
                <w:sz w:val="20"/>
                <w:szCs w:val="20"/>
              </w:rPr>
              <w:t>一级指标</w:t>
            </w: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二级指标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三级指标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年度</w:t>
            </w:r>
          </w:p>
          <w:p>
            <w:pPr>
              <w:rPr>
                <w:rFonts w:hint="eastAsia" w:ascii="仿宋" w:hAnsi="仿宋" w:eastAsia="仿宋"/>
                <w:sz w:val="20"/>
                <w:szCs w:val="20"/>
              </w:rPr>
            </w:pPr>
            <w:r>
              <w:rPr>
                <w:rFonts w:hint="eastAsia" w:ascii="仿宋" w:hAnsi="仿宋" w:eastAsia="仿宋"/>
                <w:sz w:val="20"/>
                <w:szCs w:val="20"/>
              </w:rPr>
              <w:t>指标值</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实际</w:t>
            </w:r>
          </w:p>
          <w:p>
            <w:pPr>
              <w:rPr>
                <w:rFonts w:hint="eastAsia" w:ascii="仿宋" w:hAnsi="仿宋" w:eastAsia="仿宋"/>
                <w:sz w:val="20"/>
                <w:szCs w:val="20"/>
              </w:rPr>
            </w:pPr>
            <w:r>
              <w:rPr>
                <w:rFonts w:hint="eastAsia" w:ascii="仿宋" w:hAnsi="仿宋" w:eastAsia="仿宋"/>
                <w:sz w:val="20"/>
                <w:szCs w:val="20"/>
              </w:rPr>
              <w:t>完成值</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分值</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得分</w:t>
            </w:r>
          </w:p>
        </w:tc>
        <w:tc>
          <w:tcPr>
            <w:tcW w:w="1392" w:type="dxa"/>
            <w:noWrap w:val="0"/>
            <w:vAlign w:val="top"/>
          </w:tcPr>
          <w:p>
            <w:pPr>
              <w:rPr>
                <w:rFonts w:hint="eastAsia" w:ascii="仿宋" w:hAnsi="仿宋" w:eastAsia="仿宋"/>
                <w:sz w:val="20"/>
                <w:szCs w:val="20"/>
              </w:rPr>
            </w:pPr>
            <w:r>
              <w:rPr>
                <w:rFonts w:hint="eastAsia" w:ascii="仿宋" w:hAnsi="仿宋" w:eastAsia="仿宋"/>
                <w:sz w:val="20"/>
                <w:szCs w:val="20"/>
              </w:rPr>
              <w:t>偏差原因</w:t>
            </w:r>
          </w:p>
          <w:p>
            <w:pPr>
              <w:rPr>
                <w:rFonts w:hint="eastAsia" w:ascii="仿宋" w:hAnsi="仿宋" w:eastAsia="仿宋"/>
                <w:sz w:val="20"/>
                <w:szCs w:val="20"/>
              </w:rPr>
            </w:pPr>
            <w:r>
              <w:rPr>
                <w:rFonts w:hint="eastAsia" w:ascii="仿宋" w:hAnsi="仿宋" w:eastAsia="仿宋"/>
                <w:sz w:val="20"/>
                <w:szCs w:val="20"/>
              </w:rPr>
              <w:t>分析及</w:t>
            </w:r>
          </w:p>
          <w:p>
            <w:pPr>
              <w:rPr>
                <w:rFonts w:hint="eastAsia" w:ascii="仿宋" w:hAnsi="仿宋" w:eastAsia="仿宋"/>
                <w:sz w:val="20"/>
                <w:szCs w:val="20"/>
              </w:rPr>
            </w:pPr>
            <w:r>
              <w:rPr>
                <w:rFonts w:hint="eastAsia" w:ascii="仿宋" w:hAnsi="仿宋" w:eastAsia="仿宋"/>
                <w:sz w:val="20"/>
                <w:szCs w:val="20"/>
              </w:rPr>
              <w:t>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restart"/>
            <w:noWrap w:val="0"/>
            <w:vAlign w:val="center"/>
          </w:tcPr>
          <w:p>
            <w:pPr>
              <w:rPr>
                <w:rFonts w:hint="eastAsia" w:ascii="仿宋" w:hAnsi="仿宋" w:eastAsia="仿宋"/>
                <w:sz w:val="20"/>
                <w:szCs w:val="20"/>
              </w:rPr>
            </w:pPr>
            <w:r>
              <w:rPr>
                <w:rFonts w:hint="eastAsia" w:ascii="仿宋" w:hAnsi="仿宋" w:eastAsia="仿宋"/>
                <w:sz w:val="20"/>
                <w:szCs w:val="20"/>
              </w:rPr>
              <w:t>产出指标</w:t>
            </w:r>
          </w:p>
          <w:p>
            <w:pPr>
              <w:rPr>
                <w:rFonts w:hint="eastAsia" w:ascii="仿宋" w:hAnsi="仿宋" w:eastAsia="仿宋"/>
                <w:sz w:val="20"/>
                <w:szCs w:val="20"/>
              </w:rPr>
            </w:pPr>
            <w:r>
              <w:rPr>
                <w:rFonts w:hint="eastAsia" w:ascii="仿宋" w:hAnsi="仿宋" w:eastAsia="仿宋"/>
                <w:sz w:val="20"/>
                <w:szCs w:val="20"/>
              </w:rPr>
              <w:t>(40分)</w:t>
            </w:r>
          </w:p>
        </w:tc>
        <w:tc>
          <w:tcPr>
            <w:tcW w:w="1202" w:type="dxa"/>
            <w:vMerge w:val="restart"/>
            <w:noWrap w:val="0"/>
            <w:vAlign w:val="center"/>
          </w:tcPr>
          <w:p>
            <w:pPr>
              <w:rPr>
                <w:rFonts w:hint="eastAsia" w:ascii="仿宋" w:hAnsi="仿宋" w:eastAsia="仿宋"/>
                <w:sz w:val="20"/>
                <w:szCs w:val="20"/>
              </w:rPr>
            </w:pPr>
            <w:r>
              <w:rPr>
                <w:rFonts w:hint="eastAsia" w:ascii="仿宋" w:hAnsi="仿宋" w:eastAsia="仿宋"/>
                <w:sz w:val="20"/>
                <w:szCs w:val="20"/>
              </w:rPr>
              <w:t>数量</w:t>
            </w:r>
          </w:p>
          <w:p>
            <w:pPr>
              <w:rPr>
                <w:rFonts w:hint="eastAsia" w:ascii="仿宋" w:hAnsi="仿宋" w:eastAsia="仿宋"/>
                <w:sz w:val="20"/>
                <w:szCs w:val="20"/>
              </w:rPr>
            </w:pPr>
            <w:r>
              <w:rPr>
                <w:rFonts w:hint="eastAsia" w:ascii="仿宋" w:hAnsi="仿宋" w:eastAsia="仿宋"/>
                <w:sz w:val="20"/>
                <w:szCs w:val="20"/>
              </w:rPr>
              <w:t>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教师培训人次</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4人</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4人</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continue"/>
            <w:noWrap w:val="0"/>
            <w:vAlign w:val="center"/>
          </w:tcPr>
          <w:p>
            <w:pPr>
              <w:rPr>
                <w:rFonts w:hint="eastAsia" w:ascii="仿宋" w:hAnsi="仿宋" w:eastAsia="仿宋"/>
                <w:sz w:val="20"/>
                <w:szCs w:val="20"/>
              </w:rPr>
            </w:pP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学生招生人数</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92人</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92人</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continue"/>
            <w:noWrap w:val="0"/>
            <w:vAlign w:val="center"/>
          </w:tcPr>
          <w:p>
            <w:pPr>
              <w:rPr>
                <w:rFonts w:hint="eastAsia" w:ascii="仿宋" w:hAnsi="仿宋" w:eastAsia="仿宋"/>
                <w:sz w:val="20"/>
                <w:szCs w:val="20"/>
              </w:rPr>
            </w:pP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教师考核人数</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10人</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10人</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continue"/>
            <w:noWrap w:val="0"/>
            <w:vAlign w:val="center"/>
          </w:tcPr>
          <w:p>
            <w:pPr>
              <w:rPr>
                <w:rFonts w:hint="eastAsia" w:ascii="仿宋" w:hAnsi="仿宋" w:eastAsia="仿宋"/>
                <w:sz w:val="20"/>
                <w:szCs w:val="20"/>
              </w:rPr>
            </w:pP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贫困生资助人数</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6人</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6人</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restart"/>
            <w:noWrap w:val="0"/>
            <w:vAlign w:val="center"/>
          </w:tcPr>
          <w:p>
            <w:pPr>
              <w:rPr>
                <w:rFonts w:hint="eastAsia" w:ascii="仿宋" w:hAnsi="仿宋" w:eastAsia="仿宋"/>
                <w:sz w:val="20"/>
                <w:szCs w:val="20"/>
              </w:rPr>
            </w:pPr>
            <w:r>
              <w:rPr>
                <w:rFonts w:hint="eastAsia" w:ascii="仿宋" w:hAnsi="仿宋" w:eastAsia="仿宋"/>
                <w:sz w:val="20"/>
                <w:szCs w:val="20"/>
              </w:rPr>
              <w:t>质量</w:t>
            </w:r>
          </w:p>
          <w:p>
            <w:pPr>
              <w:rPr>
                <w:rFonts w:hint="eastAsia" w:ascii="仿宋" w:hAnsi="仿宋" w:eastAsia="仿宋"/>
                <w:sz w:val="20"/>
                <w:szCs w:val="20"/>
              </w:rPr>
            </w:pPr>
            <w:r>
              <w:rPr>
                <w:rFonts w:hint="eastAsia" w:ascii="仿宋" w:hAnsi="仿宋" w:eastAsia="仿宋"/>
                <w:sz w:val="20"/>
                <w:szCs w:val="20"/>
              </w:rPr>
              <w:t>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教师培训完成率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continue"/>
            <w:noWrap w:val="0"/>
            <w:vAlign w:val="center"/>
          </w:tcPr>
          <w:p>
            <w:pPr>
              <w:rPr>
                <w:rFonts w:hint="eastAsia" w:ascii="仿宋" w:hAnsi="仿宋" w:eastAsia="仿宋"/>
                <w:sz w:val="20"/>
                <w:szCs w:val="20"/>
              </w:rPr>
            </w:pP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食品安全达标率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vMerge w:val="continue"/>
            <w:noWrap w:val="0"/>
            <w:vAlign w:val="center"/>
          </w:tcPr>
          <w:p>
            <w:pPr>
              <w:rPr>
                <w:rFonts w:hint="eastAsia" w:ascii="仿宋" w:hAnsi="仿宋" w:eastAsia="仿宋"/>
                <w:sz w:val="20"/>
                <w:szCs w:val="20"/>
              </w:rPr>
            </w:pP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贫困生资助完成率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时效</w:t>
            </w:r>
          </w:p>
          <w:p>
            <w:pPr>
              <w:rPr>
                <w:rFonts w:hint="eastAsia" w:ascii="仿宋" w:hAnsi="仿宋" w:eastAsia="仿宋"/>
                <w:sz w:val="20"/>
                <w:szCs w:val="20"/>
              </w:rPr>
            </w:pPr>
            <w:r>
              <w:rPr>
                <w:rFonts w:hint="eastAsia" w:ascii="仿宋" w:hAnsi="仿宋" w:eastAsia="仿宋"/>
                <w:sz w:val="20"/>
                <w:szCs w:val="20"/>
              </w:rPr>
              <w:t>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完成时间</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2023年年内</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2023年年内</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restart"/>
            <w:noWrap w:val="0"/>
            <w:vAlign w:val="center"/>
          </w:tcPr>
          <w:p>
            <w:pPr>
              <w:rPr>
                <w:rFonts w:hint="eastAsia" w:ascii="仿宋" w:hAnsi="仿宋" w:eastAsia="仿宋"/>
                <w:sz w:val="20"/>
                <w:szCs w:val="20"/>
              </w:rPr>
            </w:pPr>
            <w:r>
              <w:rPr>
                <w:rFonts w:hint="eastAsia" w:ascii="仿宋" w:hAnsi="仿宋" w:eastAsia="仿宋"/>
                <w:sz w:val="20"/>
                <w:szCs w:val="20"/>
              </w:rPr>
              <w:t>效益指标</w:t>
            </w:r>
          </w:p>
          <w:p>
            <w:pPr>
              <w:rPr>
                <w:rFonts w:hint="eastAsia" w:ascii="仿宋" w:hAnsi="仿宋" w:eastAsia="仿宋"/>
                <w:sz w:val="20"/>
                <w:szCs w:val="20"/>
              </w:rPr>
            </w:pPr>
            <w:r>
              <w:rPr>
                <w:rFonts w:hint="eastAsia" w:ascii="仿宋" w:hAnsi="仿宋" w:eastAsia="仿宋"/>
                <w:sz w:val="20"/>
                <w:szCs w:val="20"/>
              </w:rPr>
              <w:t>（20分）</w:t>
            </w: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经济效</w:t>
            </w:r>
          </w:p>
          <w:p>
            <w:pPr>
              <w:rPr>
                <w:rFonts w:hint="eastAsia" w:ascii="仿宋" w:hAnsi="仿宋" w:eastAsia="仿宋"/>
                <w:sz w:val="20"/>
                <w:szCs w:val="20"/>
              </w:rPr>
            </w:pPr>
            <w:r>
              <w:rPr>
                <w:rFonts w:hint="eastAsia" w:ascii="仿宋" w:hAnsi="仿宋" w:eastAsia="仿宋"/>
                <w:sz w:val="20"/>
                <w:szCs w:val="20"/>
              </w:rPr>
              <w:t>益指标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小学毕业合格率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社会效</w:t>
            </w:r>
          </w:p>
          <w:p>
            <w:pPr>
              <w:rPr>
                <w:rFonts w:hint="eastAsia" w:ascii="仿宋" w:hAnsi="仿宋" w:eastAsia="仿宋"/>
                <w:sz w:val="20"/>
                <w:szCs w:val="20"/>
              </w:rPr>
            </w:pPr>
            <w:r>
              <w:rPr>
                <w:rFonts w:hint="eastAsia" w:ascii="仿宋" w:hAnsi="仿宋" w:eastAsia="仿宋"/>
                <w:sz w:val="20"/>
                <w:szCs w:val="20"/>
              </w:rPr>
              <w:t>益指标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学校安全事故发生次数</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0次</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0次</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6</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6</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29"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生态效</w:t>
            </w:r>
          </w:p>
          <w:p>
            <w:pPr>
              <w:rPr>
                <w:rFonts w:hint="eastAsia" w:ascii="仿宋" w:hAnsi="仿宋" w:eastAsia="仿宋"/>
                <w:sz w:val="20"/>
                <w:szCs w:val="20"/>
              </w:rPr>
            </w:pPr>
            <w:r>
              <w:rPr>
                <w:rFonts w:hint="eastAsia" w:ascii="仿宋" w:hAnsi="仿宋" w:eastAsia="仿宋"/>
                <w:sz w:val="20"/>
                <w:szCs w:val="20"/>
              </w:rPr>
              <w:t>益指标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校园修缮完成率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85%</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4.5</w:t>
            </w:r>
          </w:p>
        </w:tc>
        <w:tc>
          <w:tcPr>
            <w:tcW w:w="1392" w:type="dxa"/>
            <w:noWrap w:val="0"/>
            <w:vAlign w:val="center"/>
          </w:tcPr>
          <w:p>
            <w:pPr>
              <w:rPr>
                <w:rFonts w:hint="eastAsia" w:ascii="仿宋" w:hAnsi="仿宋" w:eastAsia="仿宋"/>
                <w:sz w:val="20"/>
                <w:szCs w:val="20"/>
              </w:rPr>
            </w:pPr>
            <w:r>
              <w:rPr>
                <w:rFonts w:hint="eastAsia" w:ascii="仿宋" w:hAnsi="仿宋" w:eastAsia="仿宋"/>
                <w:sz w:val="20"/>
                <w:szCs w:val="20"/>
              </w:rPr>
              <w:t>学校相关设施损坏较频繁，维修难度大，时间长。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可持续影响指标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可持续发挥生态作用</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显著</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改善</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4</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3.5</w:t>
            </w:r>
          </w:p>
        </w:tc>
        <w:tc>
          <w:tcPr>
            <w:tcW w:w="1392" w:type="dxa"/>
            <w:noWrap w:val="0"/>
            <w:vAlign w:val="center"/>
          </w:tcPr>
          <w:p>
            <w:pPr>
              <w:rPr>
                <w:rFonts w:hint="eastAsia" w:ascii="仿宋" w:hAnsi="仿宋" w:eastAsia="仿宋"/>
                <w:sz w:val="20"/>
                <w:szCs w:val="20"/>
              </w:rPr>
            </w:pPr>
            <w:r>
              <w:rPr>
                <w:rFonts w:hint="eastAsia" w:ascii="仿宋" w:hAnsi="仿宋" w:eastAsia="仿宋"/>
                <w:sz w:val="20"/>
                <w:szCs w:val="20"/>
              </w:rPr>
              <w:t>可持续发展所需时间长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5" w:hRule="atLeast"/>
          <w:jc w:val="center"/>
        </w:trPr>
        <w:tc>
          <w:tcPr>
            <w:tcW w:w="1045" w:type="dxa"/>
            <w:vMerge w:val="continue"/>
            <w:noWrap w:val="0"/>
            <w:vAlign w:val="center"/>
          </w:tcPr>
          <w:p>
            <w:pPr>
              <w:rPr>
                <w:rFonts w:hint="eastAsia" w:ascii="仿宋" w:hAnsi="仿宋" w:eastAsia="仿宋"/>
                <w:sz w:val="20"/>
                <w:szCs w:val="20"/>
              </w:rPr>
            </w:pPr>
          </w:p>
        </w:tc>
        <w:tc>
          <w:tcPr>
            <w:tcW w:w="1350" w:type="dxa"/>
            <w:noWrap w:val="0"/>
            <w:vAlign w:val="center"/>
          </w:tcPr>
          <w:p>
            <w:pPr>
              <w:rPr>
                <w:rFonts w:hint="eastAsia" w:ascii="仿宋" w:hAnsi="仿宋" w:eastAsia="仿宋"/>
                <w:sz w:val="20"/>
                <w:szCs w:val="20"/>
              </w:rPr>
            </w:pPr>
            <w:r>
              <w:rPr>
                <w:rFonts w:hint="eastAsia" w:ascii="仿宋" w:hAnsi="仿宋" w:eastAsia="仿宋"/>
                <w:sz w:val="20"/>
                <w:szCs w:val="20"/>
              </w:rPr>
              <w:t>满意度指标</w:t>
            </w:r>
          </w:p>
          <w:p>
            <w:pPr>
              <w:rPr>
                <w:rFonts w:hint="eastAsia" w:ascii="仿宋" w:hAnsi="仿宋" w:eastAsia="仿宋"/>
                <w:sz w:val="20"/>
                <w:szCs w:val="20"/>
              </w:rPr>
            </w:pPr>
            <w:r>
              <w:rPr>
                <w:rFonts w:hint="eastAsia" w:ascii="仿宋" w:hAnsi="仿宋" w:eastAsia="仿宋"/>
                <w:sz w:val="20"/>
                <w:szCs w:val="20"/>
              </w:rPr>
              <w:t>（10分）</w:t>
            </w: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服务对象满意度指标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家长满意度</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≥90%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94%</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10</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10</w:t>
            </w:r>
          </w:p>
        </w:tc>
        <w:tc>
          <w:tcPr>
            <w:tcW w:w="1392" w:type="dxa"/>
            <w:noWrap w:val="0"/>
            <w:vAlign w:val="center"/>
          </w:tcPr>
          <w:p>
            <w:pPr>
              <w:rPr>
                <w:rFonts w:hint="eastAsia" w:ascii="仿宋" w:hAnsi="仿宋" w:eastAsia="仿宋"/>
                <w:sz w:val="20"/>
                <w:szCs w:val="20"/>
              </w:rPr>
            </w:pPr>
            <w:r>
              <w:rPr>
                <w:rFonts w:hint="eastAsia" w:ascii="仿宋" w:hAnsi="仿宋" w:eastAsia="仿宋"/>
                <w:sz w:val="20"/>
                <w:szCs w:val="20"/>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restart"/>
            <w:noWrap w:val="0"/>
            <w:vAlign w:val="center"/>
          </w:tcPr>
          <w:p>
            <w:pPr>
              <w:rPr>
                <w:rFonts w:hint="eastAsia" w:ascii="仿宋" w:hAnsi="仿宋" w:eastAsia="仿宋"/>
                <w:sz w:val="20"/>
                <w:szCs w:val="20"/>
              </w:rPr>
            </w:pPr>
            <w:r>
              <w:rPr>
                <w:rFonts w:hint="eastAsia" w:ascii="仿宋" w:hAnsi="仿宋" w:eastAsia="仿宋"/>
                <w:sz w:val="20"/>
                <w:szCs w:val="20"/>
              </w:rPr>
              <w:t>成本指标 （30分）</w:t>
            </w: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经济成本指标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预算执行率</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10</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10</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社会成本指标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资金使用合规性</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合规</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合规</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jc w:val="center"/>
        </w:trPr>
        <w:tc>
          <w:tcPr>
            <w:tcW w:w="1045" w:type="dxa"/>
            <w:vMerge w:val="continue"/>
            <w:noWrap w:val="0"/>
            <w:vAlign w:val="center"/>
          </w:tcPr>
          <w:p>
            <w:pPr>
              <w:rPr>
                <w:rFonts w:hint="eastAsia" w:ascii="仿宋" w:hAnsi="仿宋" w:eastAsia="仿宋"/>
                <w:sz w:val="20"/>
                <w:szCs w:val="20"/>
              </w:rPr>
            </w:pPr>
          </w:p>
        </w:tc>
        <w:tc>
          <w:tcPr>
            <w:tcW w:w="1350" w:type="dxa"/>
            <w:vMerge w:val="continue"/>
            <w:noWrap w:val="0"/>
            <w:vAlign w:val="center"/>
          </w:tcPr>
          <w:p>
            <w:pPr>
              <w:rPr>
                <w:rFonts w:hint="eastAsia" w:ascii="仿宋" w:hAnsi="仿宋" w:eastAsia="仿宋"/>
                <w:sz w:val="20"/>
                <w:szCs w:val="20"/>
              </w:rPr>
            </w:pPr>
          </w:p>
        </w:tc>
        <w:tc>
          <w:tcPr>
            <w:tcW w:w="1202" w:type="dxa"/>
            <w:noWrap w:val="0"/>
            <w:vAlign w:val="center"/>
          </w:tcPr>
          <w:p>
            <w:pPr>
              <w:rPr>
                <w:rFonts w:hint="eastAsia" w:ascii="仿宋" w:hAnsi="仿宋" w:eastAsia="仿宋"/>
                <w:sz w:val="20"/>
                <w:szCs w:val="20"/>
              </w:rPr>
            </w:pPr>
            <w:r>
              <w:rPr>
                <w:rFonts w:hint="eastAsia" w:ascii="仿宋" w:hAnsi="仿宋" w:eastAsia="仿宋"/>
                <w:sz w:val="20"/>
                <w:szCs w:val="20"/>
              </w:rPr>
              <w:t>生态环境成本指标</w:t>
            </w:r>
          </w:p>
        </w:tc>
        <w:tc>
          <w:tcPr>
            <w:tcW w:w="1171" w:type="dxa"/>
            <w:noWrap w:val="0"/>
            <w:vAlign w:val="center"/>
          </w:tcPr>
          <w:p>
            <w:pPr>
              <w:rPr>
                <w:rFonts w:hint="eastAsia" w:ascii="仿宋" w:hAnsi="仿宋" w:eastAsia="仿宋"/>
                <w:sz w:val="20"/>
                <w:szCs w:val="20"/>
              </w:rPr>
            </w:pPr>
            <w:r>
              <w:rPr>
                <w:rFonts w:hint="eastAsia" w:ascii="仿宋" w:hAnsi="仿宋" w:eastAsia="仿宋"/>
                <w:sz w:val="20"/>
                <w:szCs w:val="20"/>
              </w:rPr>
              <w:t>校园整体环境</w:t>
            </w:r>
          </w:p>
        </w:tc>
        <w:tc>
          <w:tcPr>
            <w:tcW w:w="1160" w:type="dxa"/>
            <w:noWrap w:val="0"/>
            <w:vAlign w:val="center"/>
          </w:tcPr>
          <w:p>
            <w:pPr>
              <w:rPr>
                <w:rFonts w:hint="eastAsia" w:ascii="仿宋" w:hAnsi="仿宋" w:eastAsia="仿宋"/>
                <w:sz w:val="20"/>
                <w:szCs w:val="20"/>
              </w:rPr>
            </w:pPr>
            <w:r>
              <w:rPr>
                <w:rFonts w:hint="eastAsia" w:ascii="仿宋" w:hAnsi="仿宋" w:eastAsia="仿宋"/>
                <w:sz w:val="20"/>
                <w:szCs w:val="20"/>
              </w:rPr>
              <w:t>提升</w:t>
            </w:r>
          </w:p>
        </w:tc>
        <w:tc>
          <w:tcPr>
            <w:tcW w:w="1097" w:type="dxa"/>
            <w:noWrap w:val="0"/>
            <w:vAlign w:val="center"/>
          </w:tcPr>
          <w:p>
            <w:pPr>
              <w:rPr>
                <w:rFonts w:hint="eastAsia" w:ascii="仿宋" w:hAnsi="仿宋" w:eastAsia="仿宋"/>
                <w:sz w:val="20"/>
                <w:szCs w:val="20"/>
              </w:rPr>
            </w:pPr>
            <w:r>
              <w:rPr>
                <w:rFonts w:hint="eastAsia" w:ascii="仿宋" w:hAnsi="仿宋" w:eastAsia="仿宋"/>
                <w:sz w:val="20"/>
                <w:szCs w:val="20"/>
              </w:rPr>
              <w:t>提升</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5</w:t>
            </w:r>
          </w:p>
        </w:tc>
        <w:tc>
          <w:tcPr>
            <w:tcW w:w="1392" w:type="dxa"/>
            <w:noWrap w:val="0"/>
            <w:vAlign w:val="center"/>
          </w:tcPr>
          <w:p>
            <w:pPr>
              <w:rPr>
                <w:rFonts w:hint="eastAsia" w:ascii="仿宋" w:hAnsi="仿宋" w:eastAsia="仿宋"/>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2" w:hRule="atLeast"/>
          <w:jc w:val="center"/>
        </w:trPr>
        <w:tc>
          <w:tcPr>
            <w:tcW w:w="7025" w:type="dxa"/>
            <w:gridSpan w:val="6"/>
            <w:noWrap w:val="0"/>
            <w:vAlign w:val="center"/>
          </w:tcPr>
          <w:p>
            <w:pPr>
              <w:rPr>
                <w:rFonts w:hint="eastAsia" w:ascii="仿宋" w:hAnsi="仿宋" w:eastAsia="仿宋"/>
                <w:sz w:val="20"/>
                <w:szCs w:val="20"/>
              </w:rPr>
            </w:pPr>
            <w:r>
              <w:rPr>
                <w:rFonts w:hint="eastAsia" w:ascii="仿宋" w:hAnsi="仿宋" w:eastAsia="仿宋"/>
                <w:sz w:val="20"/>
                <w:szCs w:val="20"/>
              </w:rPr>
              <w:t>总分</w:t>
            </w:r>
          </w:p>
        </w:tc>
        <w:tc>
          <w:tcPr>
            <w:tcW w:w="688" w:type="dxa"/>
            <w:noWrap w:val="0"/>
            <w:vAlign w:val="center"/>
          </w:tcPr>
          <w:p>
            <w:pPr>
              <w:rPr>
                <w:rFonts w:hint="eastAsia" w:ascii="仿宋" w:hAnsi="仿宋" w:eastAsia="仿宋"/>
                <w:sz w:val="20"/>
                <w:szCs w:val="20"/>
              </w:rPr>
            </w:pPr>
            <w:r>
              <w:rPr>
                <w:rFonts w:hint="eastAsia" w:ascii="仿宋" w:hAnsi="仿宋" w:eastAsia="仿宋"/>
                <w:sz w:val="20"/>
                <w:szCs w:val="20"/>
              </w:rPr>
              <w:t>100</w:t>
            </w:r>
          </w:p>
        </w:tc>
        <w:tc>
          <w:tcPr>
            <w:tcW w:w="951" w:type="dxa"/>
            <w:noWrap w:val="0"/>
            <w:vAlign w:val="center"/>
          </w:tcPr>
          <w:p>
            <w:pPr>
              <w:rPr>
                <w:rFonts w:hint="eastAsia" w:ascii="仿宋" w:hAnsi="仿宋" w:eastAsia="仿宋"/>
                <w:sz w:val="20"/>
                <w:szCs w:val="20"/>
              </w:rPr>
            </w:pPr>
            <w:r>
              <w:rPr>
                <w:rFonts w:hint="eastAsia" w:ascii="仿宋" w:hAnsi="仿宋" w:eastAsia="仿宋"/>
                <w:sz w:val="20"/>
                <w:szCs w:val="20"/>
              </w:rPr>
              <w:t>　99</w:t>
            </w:r>
          </w:p>
        </w:tc>
        <w:tc>
          <w:tcPr>
            <w:tcW w:w="1392" w:type="dxa"/>
            <w:noWrap w:val="0"/>
            <w:vAlign w:val="center"/>
          </w:tcPr>
          <w:p>
            <w:pPr>
              <w:rPr>
                <w:rFonts w:hint="eastAsia" w:ascii="仿宋" w:hAnsi="仿宋" w:eastAsia="仿宋"/>
                <w:sz w:val="20"/>
                <w:szCs w:val="20"/>
              </w:rPr>
            </w:pPr>
            <w:r>
              <w:rPr>
                <w:rFonts w:hint="eastAsia" w:ascii="仿宋" w:hAnsi="仿宋" w:eastAsia="仿宋"/>
                <w:sz w:val="20"/>
                <w:szCs w:val="20"/>
              </w:rPr>
              <w:t>　</w:t>
            </w:r>
          </w:p>
        </w:tc>
      </w:tr>
    </w:tbl>
    <w:p>
      <w:pPr>
        <w:pStyle w:val="7"/>
        <w:spacing w:line="600" w:lineRule="exact"/>
        <w:ind w:firstLine="0" w:firstLineChars="0"/>
        <w:rPr>
          <w:rFonts w:ascii="Times New Roman" w:hAnsi="Times New Roman" w:eastAsia="黑体"/>
          <w:sz w:val="32"/>
          <w:szCs w:val="32"/>
        </w:rPr>
      </w:pPr>
    </w:p>
    <w:p>
      <w:pPr>
        <w:pStyle w:val="7"/>
        <w:spacing w:line="600" w:lineRule="exact"/>
        <w:ind w:firstLine="640"/>
        <w:rPr>
          <w:rFonts w:ascii="Times New Roman" w:hAnsi="Times New Roman" w:eastAsia="黑体"/>
          <w:sz w:val="32"/>
          <w:szCs w:val="32"/>
        </w:rPr>
      </w:pPr>
      <w:r>
        <w:rPr>
          <w:rFonts w:ascii="Times New Roman" w:hAnsi="Times New Roman" w:eastAsia="黑体"/>
          <w:sz w:val="32"/>
          <w:szCs w:val="32"/>
        </w:rPr>
        <w:t>七、存在的问题及原因分析</w:t>
      </w:r>
    </w:p>
    <w:p>
      <w:pPr>
        <w:spacing w:line="600" w:lineRule="exact"/>
        <w:ind w:firstLine="640" w:firstLineChars="200"/>
        <w:rPr>
          <w:rFonts w:eastAsia="仿宋_GB2312"/>
          <w:sz w:val="32"/>
          <w:szCs w:val="32"/>
        </w:rPr>
      </w:pPr>
      <w:r>
        <w:rPr>
          <w:rFonts w:hint="eastAsia" w:eastAsia="仿宋_GB2312"/>
          <w:sz w:val="32"/>
          <w:szCs w:val="32"/>
        </w:rPr>
        <w:t xml:space="preserve">1.预算编制工作有待细化。预算编制不够明确和细化，预算编制的合理性需要提高，预算执行力度还要进一步加强。 </w:t>
      </w:r>
    </w:p>
    <w:p>
      <w:pPr>
        <w:spacing w:line="600" w:lineRule="exact"/>
        <w:ind w:firstLine="640" w:firstLineChars="200"/>
        <w:rPr>
          <w:rFonts w:eastAsia="仿宋_GB2312"/>
          <w:sz w:val="32"/>
          <w:szCs w:val="32"/>
        </w:rPr>
      </w:pPr>
      <w:r>
        <w:rPr>
          <w:rFonts w:hint="eastAsia" w:eastAsia="仿宋_GB2312"/>
          <w:sz w:val="32"/>
          <w:szCs w:val="32"/>
        </w:rPr>
        <w:t>2.支出监控机制不完善，难以确保资金的有效利用。</w:t>
      </w:r>
    </w:p>
    <w:p>
      <w:pPr>
        <w:spacing w:line="600" w:lineRule="exact"/>
        <w:ind w:firstLine="640" w:firstLineChars="200"/>
        <w:rPr>
          <w:rFonts w:asciiTheme="minorEastAsia" w:hAnsiTheme="minorEastAsia" w:eastAsiaTheme="minorEastAsia" w:cstheme="minorEastAsia"/>
          <w:sz w:val="28"/>
          <w:szCs w:val="28"/>
        </w:rPr>
      </w:pPr>
      <w:r>
        <w:rPr>
          <w:rFonts w:hint="eastAsia" w:eastAsia="仿宋_GB2312"/>
          <w:sz w:val="32"/>
          <w:szCs w:val="32"/>
        </w:rPr>
        <w:t>3.相关人员对预算业务有待进一步加强。</w:t>
      </w:r>
    </w:p>
    <w:p>
      <w:pPr>
        <w:spacing w:line="600" w:lineRule="exact"/>
        <w:ind w:firstLine="640" w:firstLineChars="200"/>
        <w:rPr>
          <w:rFonts w:eastAsia="黑体"/>
          <w:sz w:val="32"/>
          <w:szCs w:val="32"/>
        </w:rPr>
      </w:pPr>
      <w:r>
        <w:rPr>
          <w:rFonts w:eastAsia="黑体"/>
          <w:sz w:val="32"/>
          <w:szCs w:val="32"/>
        </w:rPr>
        <w:t>八、下一步改进措施</w:t>
      </w:r>
    </w:p>
    <w:p>
      <w:pPr>
        <w:spacing w:line="600" w:lineRule="exact"/>
        <w:ind w:firstLine="640" w:firstLineChars="200"/>
        <w:rPr>
          <w:rFonts w:eastAsia="仿宋_GB2312"/>
          <w:sz w:val="32"/>
          <w:szCs w:val="32"/>
        </w:rPr>
      </w:pPr>
      <w:r>
        <w:rPr>
          <w:rFonts w:hint="eastAsia" w:eastAsia="仿宋_GB2312"/>
          <w:sz w:val="32"/>
          <w:szCs w:val="32"/>
        </w:rPr>
        <w:t>针对上述存在的问题及对外整体支出管理工作的需要，拟实施的改进措施如下：</w:t>
      </w:r>
    </w:p>
    <w:p>
      <w:pPr>
        <w:spacing w:line="600" w:lineRule="exact"/>
        <w:ind w:firstLine="640" w:firstLineChars="200"/>
        <w:rPr>
          <w:rFonts w:eastAsia="仿宋_GB2312"/>
          <w:sz w:val="32"/>
          <w:szCs w:val="32"/>
        </w:rPr>
      </w:pPr>
      <w:r>
        <w:rPr>
          <w:rFonts w:hint="eastAsia" w:eastAsia="仿宋_GB2312"/>
          <w:sz w:val="32"/>
          <w:szCs w:val="32"/>
        </w:rP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w:t>
      </w:r>
    </w:p>
    <w:p>
      <w:pPr>
        <w:spacing w:line="600" w:lineRule="exact"/>
        <w:ind w:firstLine="640" w:firstLineChars="200"/>
        <w:rPr>
          <w:rFonts w:eastAsia="仿宋_GB2312"/>
          <w:sz w:val="32"/>
          <w:szCs w:val="32"/>
        </w:rPr>
      </w:pPr>
      <w:r>
        <w:rPr>
          <w:rFonts w:hint="eastAsia" w:eastAsia="仿宋_GB2312"/>
          <w:sz w:val="32"/>
          <w:szCs w:val="32"/>
        </w:rPr>
        <w:t>2.优化支出结构，促进教育资源均衡配置。根据教学科研实际需要，合理配置资源，确保重点领域和薄弱环节得到优先保障。</w:t>
      </w:r>
    </w:p>
    <w:p>
      <w:pPr>
        <w:spacing w:line="600" w:lineRule="exact"/>
        <w:ind w:firstLine="640" w:firstLineChars="200"/>
        <w:rPr>
          <w:rFonts w:eastAsia="仿宋_GB2312"/>
          <w:sz w:val="32"/>
          <w:szCs w:val="32"/>
        </w:rPr>
      </w:pPr>
      <w:r>
        <w:rPr>
          <w:rFonts w:hint="eastAsia" w:eastAsia="仿宋_GB2312"/>
          <w:sz w:val="32"/>
          <w:szCs w:val="32"/>
        </w:rPr>
        <w:t>3.对相关人员加强培训，特别是针对《预算法》《行政事业单位会计制度》等学习培训，规范部门预算收支核算，切实提高部门预算收支管理水平。</w:t>
      </w:r>
    </w:p>
    <w:p>
      <w:pPr>
        <w:spacing w:line="600" w:lineRule="exact"/>
        <w:ind w:firstLine="640" w:firstLineChars="200"/>
        <w:rPr>
          <w:rFonts w:eastAsia="黑体"/>
          <w:sz w:val="32"/>
          <w:szCs w:val="32"/>
        </w:rPr>
      </w:pPr>
      <w:r>
        <w:rPr>
          <w:rFonts w:eastAsia="黑体"/>
          <w:sz w:val="32"/>
          <w:szCs w:val="32"/>
        </w:rPr>
        <w:t>九、绩效自评结果拟应用和公开情况</w:t>
      </w:r>
    </w:p>
    <w:p>
      <w:pPr>
        <w:spacing w:line="600" w:lineRule="exact"/>
        <w:ind w:firstLine="640" w:firstLineChars="200"/>
        <w:rPr>
          <w:rFonts w:eastAsia="仿宋_GB2312"/>
          <w:sz w:val="32"/>
          <w:szCs w:val="32"/>
        </w:rPr>
      </w:pPr>
      <w:r>
        <w:rPr>
          <w:rFonts w:hint="eastAsia" w:eastAsia="仿宋_GB2312"/>
          <w:sz w:val="32"/>
          <w:szCs w:val="32"/>
        </w:rPr>
        <w:t>我校根据教育部门和上级主管部门的要求，认真开展了绩效自评工作。经过自评，学校在教育教学、管理服务和创新发展等方面取得了显著成绩，整体绩效水平较高。</w:t>
      </w:r>
    </w:p>
    <w:p>
      <w:pPr>
        <w:spacing w:line="600" w:lineRule="exact"/>
        <w:ind w:firstLine="640" w:firstLineChars="200"/>
        <w:rPr>
          <w:rFonts w:eastAsia="仿宋_GB2312"/>
          <w:sz w:val="32"/>
          <w:szCs w:val="32"/>
        </w:rPr>
      </w:pPr>
      <w:r>
        <w:rPr>
          <w:rFonts w:hint="eastAsia" w:eastAsia="仿宋_GB2312"/>
          <w:sz w:val="32"/>
          <w:szCs w:val="32"/>
        </w:rPr>
        <w:t>为充分发挥绩效自评结果的激励和导向作用，学校将自评结果应用于以下几个方面：一是优化资源配置，提升教育教学质量；二是加强内部管理，提高管理效能；三是推动创新发展，增强学校核心竞争力。</w:t>
      </w:r>
    </w:p>
    <w:p>
      <w:pPr>
        <w:spacing w:line="600" w:lineRule="exact"/>
        <w:ind w:firstLine="640" w:firstLineChars="200"/>
        <w:rPr>
          <w:rFonts w:eastAsia="仿宋_GB2312"/>
          <w:sz w:val="32"/>
          <w:szCs w:val="32"/>
        </w:rPr>
      </w:pPr>
      <w:r>
        <w:rPr>
          <w:rFonts w:hint="eastAsia" w:eastAsia="仿宋_GB2312"/>
          <w:sz w:val="32"/>
          <w:szCs w:val="32"/>
        </w:rPr>
        <w:t>同时，学校将自评结果以适当方式向全校师生和社会公众公开，接受监督。公开内容包括自评报告、绩效指标数据和改进措施等，确保信息的真实性和准确性。</w:t>
      </w:r>
    </w:p>
    <w:p>
      <w:pPr>
        <w:spacing w:line="600" w:lineRule="exact"/>
        <w:ind w:firstLine="640" w:firstLineChars="200"/>
        <w:rPr>
          <w:rFonts w:eastAsia="仿宋_GB2312"/>
          <w:sz w:val="32"/>
          <w:szCs w:val="32"/>
        </w:rPr>
      </w:pPr>
      <w:r>
        <w:rPr>
          <w:rFonts w:hint="eastAsia" w:eastAsia="仿宋_GB2312"/>
          <w:sz w:val="32"/>
          <w:szCs w:val="32"/>
        </w:rPr>
        <w:t>通过自评结果的应用和公开，学校将不断提升整体绩效水平，为师生提供更优质的教育服务，为社会发展做出更大贡献。</w:t>
      </w:r>
    </w:p>
    <w:p>
      <w:pPr>
        <w:rPr>
          <w:sz w:val="30"/>
          <w:szCs w:val="30"/>
        </w:rPr>
      </w:pPr>
    </w:p>
    <w:p/>
    <w:p>
      <w:pPr>
        <w:widowControl/>
      </w:pPr>
    </w:p>
    <w:p>
      <w:pPr>
        <w:widowControl/>
      </w:pPr>
    </w:p>
    <w:p>
      <w:pPr>
        <w:widowControl/>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D1D961"/>
    <w:multiLevelType w:val="singleLevel"/>
    <w:tmpl w:val="D4D1D961"/>
    <w:lvl w:ilvl="0" w:tentative="0">
      <w:start w:val="3"/>
      <w:numFmt w:val="chineseCounting"/>
      <w:suff w:val="nothing"/>
      <w:lvlText w:val="%1、"/>
      <w:lvlJc w:val="left"/>
      <w:rPr>
        <w:rFonts w:hint="eastAsia"/>
      </w:rPr>
    </w:lvl>
  </w:abstractNum>
  <w:abstractNum w:abstractNumId="1">
    <w:nsid w:val="D80084E6"/>
    <w:multiLevelType w:val="singleLevel"/>
    <w:tmpl w:val="D80084E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lZDIwOTk5MjI4ODY0YTRiMjg2NTM3NTJiODU4M2YifQ=="/>
    <w:docVar w:name="KSO_WPS_MARK_KEY" w:val="6aee906e-a7de-4205-b603-4d5f6656a126"/>
  </w:docVars>
  <w:rsids>
    <w:rsidRoot w:val="3B2E149E"/>
    <w:rsid w:val="00177FD9"/>
    <w:rsid w:val="00313A39"/>
    <w:rsid w:val="008A1940"/>
    <w:rsid w:val="00932553"/>
    <w:rsid w:val="00C65925"/>
    <w:rsid w:val="00C96346"/>
    <w:rsid w:val="00E57CDA"/>
    <w:rsid w:val="00E82067"/>
    <w:rsid w:val="1DA203F6"/>
    <w:rsid w:val="21B8102D"/>
    <w:rsid w:val="246177C3"/>
    <w:rsid w:val="256F1090"/>
    <w:rsid w:val="26875CA4"/>
    <w:rsid w:val="2C745384"/>
    <w:rsid w:val="2F7876B9"/>
    <w:rsid w:val="34111149"/>
    <w:rsid w:val="363C2636"/>
    <w:rsid w:val="3B2E149E"/>
    <w:rsid w:val="3DCA4743"/>
    <w:rsid w:val="3E007A52"/>
    <w:rsid w:val="3F0C10F2"/>
    <w:rsid w:val="48D47BB5"/>
    <w:rsid w:val="498176A7"/>
    <w:rsid w:val="4C4E010F"/>
    <w:rsid w:val="5B4C6F93"/>
    <w:rsid w:val="645B1B3F"/>
    <w:rsid w:val="6AB01D17"/>
    <w:rsid w:val="6BF37CB6"/>
    <w:rsid w:val="71183086"/>
    <w:rsid w:val="7AEC37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kern w:val="0"/>
      <w:sz w:val="24"/>
    </w:rPr>
  </w:style>
  <w:style w:type="paragraph" w:styleId="7">
    <w:name w:val="List Paragraph"/>
    <w:basedOn w:val="1"/>
    <w:qFormat/>
    <w:uiPriority w:val="99"/>
    <w:pPr>
      <w:ind w:firstLine="420" w:firstLineChars="200"/>
    </w:pPr>
    <w:rPr>
      <w:szCs w:val="22"/>
    </w:rPr>
  </w:style>
  <w:style w:type="character" w:customStyle="1" w:styleId="8">
    <w:name w:val="页眉 Char"/>
    <w:basedOn w:val="6"/>
    <w:link w:val="3"/>
    <w:qFormat/>
    <w:uiPriority w:val="0"/>
    <w:rPr>
      <w:rFonts w:ascii="Calibri" w:hAnsi="Calibri"/>
      <w:kern w:val="2"/>
      <w:sz w:val="18"/>
      <w:szCs w:val="18"/>
    </w:rPr>
  </w:style>
  <w:style w:type="character" w:customStyle="1" w:styleId="9">
    <w:name w:val="页脚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1702</Words>
  <Characters>1865</Characters>
  <Lines>3</Lines>
  <Paragraphs>4</Paragraphs>
  <TotalTime>3</TotalTime>
  <ScaleCrop>false</ScaleCrop>
  <LinksUpToDate>false</LinksUpToDate>
  <CharactersWithSpaces>1867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2024-04-09T17:24:00Z</dcterms:created>
  <dc:creator>^与久。</dc:creator>
  <cp:lastModifiedBy>Administrator</cp:lastModifiedBy>
  <cp:lastPrinted>2024-04-10T07:22:00Z</cp:lastPrinted>
  <dcterms:modified xsi:type="dcterms:W3CDTF">2024-10-09T06:46:25Z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E27D2B8D93B94F4A87E67FFEF8465521_13</vt:lpwstr>
  </property>
</Properties>
</file>